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February 2nd</w:t>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32"/>
          <w:rtl w:val="0"/>
        </w:rPr>
        <w:t xml:space="preserve">4th Grade All-Star: Zaina Arafat</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continue with unit 4 where we focus on diversity. Students will learn the importance of diversity, how diversity affects our communities and how it can lead to conflict.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On Wednesday, February 11th we will be going on a field trip to the Ford Factory and the Henry Ford Museum. Money and permission slip forms are due NO LATER THAN THIS THURSDAY. If you would like to chaperone please indicate that on the form or email your child’s teacher. The first 2 chaperones per class are free, after that it is $12 per chaperone. Students will need to be in uniform and bring a lunch that day. Thank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fractions in math. Students will focus on understanding equivalent fractions and learn various ways to identify and represent equal amounts. Students will also understand the relevance of fractions in our daily lives.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This week we will continue to focus on wind power. Students will continue constructing wind turbines and testing out their constructions. Students will also participate in team building activities to lead us into our STEM projects.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begin to discuss geography. We will focus on physical geography, specifically relative and absolute location. Students will continue to complete TFK totally ten assignments.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Students have assignments due each week, please see the weebly.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informational essays. Students will continue drafting their essays this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continue reading stories about the Prophet’s life and continue creating our classroom timeline of the Prophet’s life in small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2.2.15.docx</dc:title>
</cp:coreProperties>
</file>