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February 23rd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4 where we focus on diversity. Students will learn the importance of diversity, how diversity affects our communities and how it can lead to conflict.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continue to focus on understanding equivalent fractions and comparing fractions on a number line. 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will begin continue working on their STEM projects with partners. This week we also continue with Trimester 2 self-study </w:t>
      </w:r>
      <w:r w:rsidRPr="00000000" w:rsidR="00000000" w:rsidDel="00000000">
        <w:rPr>
          <w:rFonts w:cs="Comic Sans MS" w:hAnsi="Comic Sans MS" w:eastAsia="Comic Sans MS" w:ascii="Comic Sans MS"/>
          <w:sz w:val="32"/>
          <w:rtl w:val="0"/>
        </w:rPr>
        <w:t xml:space="preserve">presentations</w:t>
      </w:r>
      <w:r w:rsidRPr="00000000" w:rsidR="00000000" w:rsidDel="00000000">
        <w:rPr>
          <w:rFonts w:cs="Comic Sans MS" w:hAnsi="Comic Sans MS" w:eastAsia="Comic Sans MS" w:ascii="Comic Sans MS"/>
          <w:sz w:val="32"/>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will be working on the written descriptions for our STEM projects and begin our trimester 2 reflections.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continue creating our classroom timeline of the Prophet’s life in small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