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March 16th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unit 5 where we will focus on effects and consequences. Students will discuss the effects and consequences of our actions on our communities, environment, society, and on others around us. Students will think about the importance of pure intentions and what the effects could be if we did not consider the consequences of our actions.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fractions in math. Students will continue to review equivalent fractions and comparing fractions, as well as ordering fractions on a number line. Students will also focus on adding and subtracting fractions with like denominators. We will also do model drawing with fractions this week. We will also learn about mixed numbers and improper fractions.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Comic Sans MS" w:hAnsi="Comic Sans MS" w:eastAsia="Comic Sans MS" w:ascii="Comic Sans MS"/>
          <w:sz w:val="32"/>
          <w:rtl w:val="0"/>
        </w:rPr>
        <w:t xml:space="preserve">Students will also understand the relevance of fractions in our daily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In book clubs this week students will work on informational passages and work on utilizing text features, as well as focus on facts and opinions.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will continue to work on our argumentative essays. Students picked a topic and formed an opinion on an issue going on in their community. Students will work on developing reasoning to support their opinions. Students will begin to construct thesis sentences and then move on to outlining body paragraphs.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continue with geography. We will identify physical characteristics in the United States and connect physical characteristics to human characteristics.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will continue to discuss plant and animal cells and compare and contrast the internal and external structures of cells. Students will begin by learning the functions of the main parts of a plant cell.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be finishing our class timelines of Prophet Muhammad inshAllah. We will also begin reading stories about Prophet Musa.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