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March 9th</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begin unit 5 where we will focus on effects and consequences. Students will discuss the effects and consequences of our actions on our communities, environment, society, and on others around us. Students will think about the importance of pure intentions and what the effects could be if we did not consider the consequences of our actions.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fractions in math. Students will continue to focus on understanding equivalent fractions and comparing fractions, as well as ordering fractions on a number line. Students will also focus on adding and subtracting fractions with like denominators. Students will also understand the relevance of fractions in our daily lives.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In book clubs this week students will work on informational passages and work on utilizing text features.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collect their own spelling words for their list every Monday and are tested every Friday as well. They are expected to study their words at home.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will begin to brainstorm ideas for our argumentative essays. Students will pick a topic and form an opinion on an issue going on in their community. Students will work on developing reasoning to support their opinions. Students will begin to construct thesis sentences and then move on to body paragraphs.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will continue with geography. We will look at physical characteristics of the United States.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will begin to discuss plant and animal cells and compare and contrast the internal and external structures of cells.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Islamics this week we will continue reading stories about the Prophet’s life and continue creating our classroom timeline of the Prophet’s life in small groups.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