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u w:val="single"/>
          <w:rtl w:val="0"/>
        </w:rPr>
        <w:t xml:space="preserve">Week of April 13</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32"/>
          <w:rtl w:val="0"/>
        </w:rPr>
        <w:t xml:space="preserve">4th Grade All-Star: Maham Rahman</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This week we will continue with unit 5 where we will focus on effects and consequences. Students will discuss the effects and consequences of our actions on our communities, environment, society, and on others around us. Students will think about the importance of pure intentions and what the effects could be if we did not consider the consequences of our actions.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This week we will review fractions in math. Students will review equivalent fractions and comparing fractions, ordering fractions,mixed numbers and improper fractions, as well as adding and subtracting fractions and mixed numbers with like and unlike denominators, and multiplying fractions by a whole number. We will continue with model drawing with fractions this week and continue to build our understanding of the relevance of fractions in our daily lives.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In Reader’s workshop we will continue to build stamina.  Students will also practice various reading strategies we will review during reader’s workshop.  In book clubs this week students will work on informational passages and work on cause and effect. Students will also continue working on making inferences, identifying fact and opinions, and main ideas.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Students collect their own spelling words for their list every Monday and are tested every Friday as well. They are expected to study their words at home.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In writers’ workshop we will begin brainstorming for YAC! Students will have the option to write a fictional story or poetry about the school wide theme: Reflect, Act, and Transform. This week we will spend time brainstorming for our stories and creating our characters.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In social studies this week we will connect what we learned geography to migration and immigration. Students will listen to stories and discuss the factors that influence people to move from one place to another.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Next geography test will be May 1st.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In science we will continue to discuss plant and animal cells and compare and contrast the internal and external structures of cells as well as understand the functions of the different parts. Students will be observing plant and animal cells under a microscope.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In Islamics this week we will continue reading stories about Prophet Musa. We will continue discussing the effects of speaking good or remaining silent based on our Unit 5 Hadith and come up with specific examples of its application to our daily lives.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Please check the weebly daily and email me with any questions or concerns.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********Please do not try to discuss matters with me before school or during dismissal. The students are my priority at this time and I will not be able to give you my full attention at this time to discuss important matters.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I will gladly set up a time to meet with you. I ask that you please email me to set up a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