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May 26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continue with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in math we will begin identifying lines of symmetry within various shapes and patterns. We will also discuss area and perimeter of rectangles and squares.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No more spelling for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Students are working in groups to create fun activities or ways of reviewing grammar concepts and they will reteach their concept to the class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Unfinished YAC stories should have been taken home and completed over the weekend. Students are working on trimester 3 reflections and portfolios this week. Trimester reflections are due on Monday June 1st. Portfolios are due on Wednesday June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discuss economic decision making, the role of competition in the economy, incentives, and supply and demand.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students will also continue working on game boards in groups to demonstrate what they have learned throughout their fourth grade journey in all areas of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